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Попытки изменения вектора социальной политики. Уровень жизни: достижения и проблемы.</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rStyle w:val="a4"/>
          <w:color w:val="222222"/>
          <w:sz w:val="28"/>
          <w:szCs w:val="28"/>
        </w:rPr>
        <w:t>Культурное пространство и повседневная жизнь</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w:t>
      </w:r>
      <w:r>
        <w:rPr>
          <w:color w:val="222222"/>
          <w:sz w:val="28"/>
          <w:szCs w:val="28"/>
        </w:rPr>
        <w:lastRenderedPageBreak/>
        <w:t>Национальные движения. Борьба с инакомыслием. Судебные процессы. Цензура и самиздат.</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rStyle w:val="a4"/>
          <w:color w:val="222222"/>
          <w:sz w:val="28"/>
          <w:szCs w:val="28"/>
        </w:rPr>
        <w:t>Внешняя политика</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Подъем антикоммунистических настроений в Восточной Европе. Кризис просоветских режимов.</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Л.И. Брежнев в оценках современников и историков.</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rStyle w:val="a4"/>
          <w:color w:val="222222"/>
          <w:sz w:val="28"/>
          <w:szCs w:val="28"/>
        </w:rPr>
        <w:t>Политика «перестройки». Распад СССР (1985-1991 гг.)</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Нарастание кризисных явлений в социально-экономической и идейно-политических сферах. Резкое падение мировых цен на нефть и его негативные последствия для советской экономики.</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w:t>
      </w:r>
      <w:r>
        <w:rPr>
          <w:color w:val="222222"/>
          <w:sz w:val="28"/>
          <w:szCs w:val="28"/>
        </w:rPr>
        <w:lastRenderedPageBreak/>
        <w:t>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М.С.Горбачеву и его внешнеполитическим инициативам внутри СССР и в мире.</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и создание Компартии РСФСР.</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Превращение Б.Н.Ельцина в единого лидера демократических сил. Противостояние союзной (Горбачев) и российской (Ельцин) власти. Введение поста президента и избрание М.С.Горбачева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Усиление центробежных тенденций и угрозы распада СССР. Провозглашение независимости Литвой, Эстонией и Латвией. Ситуация на Северном Кавказе. «Парад суверенитетов».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lastRenderedPageBreak/>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Попытка государственного переворота в августе 1991 г. Планы ГКЧП и защитники Белого дома. Победа Ельцина. Ослабление союзной власти и влияния Горбачева. Распад структур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Алма-Атинские соглашения).</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Реакция мирового сообщества на распад СССР. Решение проблемы советского ядерного оружия. Россия как преемник СССР на международной арене.</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Горбачев, Ельцин и «перестройка» в общественном сознании.</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rStyle w:val="a4"/>
          <w:color w:val="222222"/>
          <w:sz w:val="28"/>
          <w:szCs w:val="28"/>
        </w:rPr>
        <w:t>Понятия и термины:</w:t>
      </w:r>
      <w:r>
        <w:rPr>
          <w:color w:val="222222"/>
          <w:sz w:val="28"/>
          <w:szCs w:val="28"/>
        </w:rPr>
        <w:t xml:space="preserve">Репатриация. Репарации. «Лесные братья». «Бандеровцы». Космополитизм. «Еврейский антифашистский комитет». «Дело врачей». «Ленинградское дело». Ядерное оружие. «План Маршалла». «Доктрина Трумэна». «Холодная война». «Железный занавес». Страны «народной демократии». Организация объединенных наций (ООН). Коминформбюро. Организация Североатлантического договора (НАТО). Совет экономической взаимопомощи (СЭВ). Гонка вооружений. Десталинизация. Реабилитация. «Оттепель». Целина. БАМ, всесоюзные комсомольские стройки. Совнархозы. Научно-техническая революция и ее результаты. Организация Варшавского договора (ОВД). Мировая социалистическая система. Мирное сосуществование государств. Страны «третьего мира». Движение неприсоединения. «Самиздат» и «тамиздат». Поколение «шестидесятников». Инакомыслие и диссидентское движение. </w:t>
      </w:r>
      <w:r>
        <w:rPr>
          <w:color w:val="222222"/>
          <w:sz w:val="28"/>
          <w:szCs w:val="28"/>
        </w:rPr>
        <w:lastRenderedPageBreak/>
        <w:t>«Хрущевки». Клубы самодеятельной (бардовской) песни. Движение КВН. Стиляги. «Развитой социализм». Скрытая инфляция. Нефтедоллары. Общность людей «советский народ». Косыгинская реформа. Хозрасчет. Аграрно-промышленный комплекс. Теневая экономика. «Пражская весна». «Застой». Дача. Товарный дефицит.</w:t>
      </w:r>
    </w:p>
    <w:p w:rsidR="00182285" w:rsidRDefault="00182285" w:rsidP="00182285">
      <w:pPr>
        <w:pStyle w:val="a3"/>
        <w:shd w:val="clear" w:color="auto" w:fill="FEFEFE"/>
        <w:spacing w:before="300" w:beforeAutospacing="0" w:after="300" w:afterAutospacing="0"/>
        <w:ind w:left="300" w:right="900"/>
        <w:rPr>
          <w:color w:val="222222"/>
          <w:sz w:val="28"/>
          <w:szCs w:val="28"/>
        </w:rPr>
      </w:pPr>
      <w:r>
        <w:rPr>
          <w:color w:val="222222"/>
          <w:sz w:val="28"/>
          <w:szCs w:val="28"/>
        </w:rPr>
        <w:t>«Перестройка». «Гласность». «Новое политическое мышление». «Стратегия ускорения». «Долларовая игла». Общечеловеческие ценности. «Социализм с человеческим лицом». Антиалкогольная кампания. «Человеческий фактор». Политический плюрализм. Правовое государство. Разделение властей. Межнациональный конфликт. Титульная нация. Коммерческий банк. Индивидуальная трудовая деятельность. Конверсия оборонных предприятий. Народный депутат. Съезд народных депутатов. Межрегиональная депутатская группа. «План автономизации». «Парад суверенитетов». «Война законов». Государственный комитет по чрезвычайному положению (ГКЧП).</w:t>
      </w:r>
    </w:p>
    <w:p w:rsidR="00470318" w:rsidRDefault="00470318">
      <w:bookmarkStart w:id="0" w:name="_GoBack"/>
      <w:bookmarkEnd w:id="0"/>
    </w:p>
    <w:sectPr w:rsidR="0047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2A"/>
    <w:rsid w:val="00182285"/>
    <w:rsid w:val="00470318"/>
    <w:rsid w:val="00F7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11B09-CC0F-417F-903C-7C8402B6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2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Dosev</dc:creator>
  <cp:keywords/>
  <dc:description/>
  <cp:lastModifiedBy>Ivan Dosev</cp:lastModifiedBy>
  <cp:revision>2</cp:revision>
  <dcterms:created xsi:type="dcterms:W3CDTF">2022-02-28T11:39:00Z</dcterms:created>
  <dcterms:modified xsi:type="dcterms:W3CDTF">2022-02-28T11:39:00Z</dcterms:modified>
</cp:coreProperties>
</file>